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napToGrid w:val="0"/>
        <w:spacing w:beforeLines="50" w:afterLines="50" w:line="320" w:lineRule="exact"/>
        <w:rPr>
          <w:rFonts w:hint="eastAsia" w:ascii="仿宋_GB2312" w:eastAsia="仿宋_GB2312" w:cs="仿宋_GB2312"/>
          <w:b/>
          <w:bCs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>附件一：</w:t>
      </w:r>
      <w:r>
        <w:rPr>
          <w:rFonts w:hint="eastAsia" w:ascii="仿宋_GB2312" w:eastAsia="仿宋_GB2312" w:cs="仿宋_GB2312"/>
          <w:b/>
          <w:bCs/>
          <w:kern w:val="2"/>
          <w:sz w:val="32"/>
          <w:szCs w:val="32"/>
          <w:lang w:val="en-US" w:eastAsia="zh-CN" w:bidi="ar"/>
        </w:rPr>
        <w:t xml:space="preserve">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after="157" w:afterLines="50" w:line="240" w:lineRule="auto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eastAsia="仿宋_GB2312" w:cs="仿宋_GB2312" w:hAnsiTheme="minorHAnsi"/>
          <w:b/>
          <w:bCs/>
          <w:kern w:val="2"/>
          <w:sz w:val="40"/>
          <w:szCs w:val="40"/>
          <w:lang w:val="en-US" w:eastAsia="zh-CN" w:bidi="ar"/>
        </w:rPr>
      </w:pPr>
      <w:r>
        <w:rPr>
          <w:rFonts w:hint="eastAsia" w:ascii="仿宋_GB2312" w:eastAsia="仿宋_GB2312" w:cs="仿宋_GB2312"/>
          <w:b/>
          <w:bCs/>
          <w:kern w:val="2"/>
          <w:sz w:val="32"/>
          <w:szCs w:val="32"/>
          <w:lang w:val="en-US" w:eastAsia="zh-CN" w:bidi="ar"/>
        </w:rPr>
        <w:t xml:space="preserve">      </w:t>
      </w:r>
      <w:r>
        <w:rPr>
          <w:rFonts w:hint="eastAsia" w:ascii="仿宋_GB2312" w:eastAsia="仿宋_GB2312" w:cs="仿宋_GB2312"/>
          <w:b/>
          <w:bCs/>
          <w:kern w:val="2"/>
          <w:sz w:val="40"/>
          <w:szCs w:val="40"/>
          <w:lang w:val="en-US" w:eastAsia="zh-CN" w:bidi="ar"/>
        </w:rPr>
        <w:t>财务综合实力</w:t>
      </w:r>
      <w:r>
        <w:rPr>
          <w:rFonts w:hint="eastAsia" w:ascii="仿宋_GB2312" w:eastAsia="仿宋_GB2312" w:cs="仿宋_GB2312" w:hAnsiTheme="minorHAnsi"/>
          <w:b/>
          <w:bCs/>
          <w:kern w:val="2"/>
          <w:sz w:val="40"/>
          <w:szCs w:val="40"/>
          <w:lang w:val="en-US" w:eastAsia="zh-CN" w:bidi="ar"/>
        </w:rPr>
        <w:t>评分细则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after="157" w:afterLines="50" w:line="240" w:lineRule="auto"/>
        <w:ind w:left="0" w:leftChars="0" w:right="0" w:rightChars="0" w:firstLine="803" w:firstLineChars="200"/>
        <w:jc w:val="both"/>
        <w:textAlignment w:val="auto"/>
        <w:outlineLvl w:val="9"/>
        <w:rPr>
          <w:rFonts w:hint="eastAsia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/>
          <w:b/>
          <w:bCs/>
          <w:kern w:val="2"/>
          <w:sz w:val="40"/>
          <w:szCs w:val="40"/>
          <w:lang w:val="en-US" w:eastAsia="zh-CN" w:bidi="ar"/>
        </w:rPr>
        <w:t xml:space="preserve"> 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after="157" w:afterLines="50" w:line="64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 w:cs="仿宋_GB2312" w:hAnsiTheme="minorHAnsi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 xml:space="preserve">  </w:t>
      </w:r>
      <w:r>
        <w:rPr>
          <w:rFonts w:hint="eastAsia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 xml:space="preserve">  按照以下公式计算各法人主体的财务综合实力得分，满分13分。计算公式：财务综合实力得分=净资产得分*净资产权重（60%）+资产负债率得分*资产负债率权重（40%），计算各法人主体的得分分值（保留小数点一位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after="157" w:afterLines="50" w:line="64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 w:hAnsiTheme="minorHAnsi"/>
          <w:b/>
          <w:bCs/>
          <w:color w:val="auto"/>
          <w:kern w:val="2"/>
          <w:sz w:val="32"/>
          <w:szCs w:val="32"/>
          <w:lang w:val="en-US" w:eastAsia="zh-CN" w:bidi="ar"/>
        </w:rPr>
        <w:t>1、企业净资产得分</w:t>
      </w:r>
      <w:r>
        <w:rPr>
          <w:rFonts w:hint="eastAsia" w:ascii="仿宋_GB2312" w:eastAsia="仿宋_GB2312" w:cs="仿宋_GB2312" w:hAnsiTheme="minorHAnsi"/>
          <w:color w:val="auto"/>
          <w:kern w:val="2"/>
          <w:sz w:val="32"/>
          <w:szCs w:val="32"/>
          <w:lang w:val="en-US" w:eastAsia="zh-CN" w:bidi="ar"/>
        </w:rPr>
        <w:t>：满分13分，按</w:t>
      </w:r>
      <w:r>
        <w:rPr>
          <w:rFonts w:hint="eastAsia" w:ascii="仿宋_GB2312" w:eastAsia="仿宋_GB2312" w:cs="仿宋_GB2312"/>
          <w:color w:val="auto"/>
          <w:kern w:val="2"/>
          <w:sz w:val="32"/>
          <w:szCs w:val="32"/>
          <w:lang w:val="en-US" w:eastAsia="zh-CN" w:bidi="ar"/>
        </w:rPr>
        <w:t>2017</w:t>
      </w:r>
      <w:r>
        <w:rPr>
          <w:rFonts w:hint="eastAsia" w:ascii="仿宋_GB2312" w:eastAsia="仿宋_GB2312" w:cs="仿宋_GB2312" w:hAnsiTheme="minorHAnsi"/>
          <w:color w:val="auto"/>
          <w:kern w:val="2"/>
          <w:sz w:val="32"/>
          <w:szCs w:val="32"/>
          <w:lang w:val="en-US" w:eastAsia="zh-CN" w:bidi="ar"/>
        </w:rPr>
        <w:t>年末企业净资产，从大到小排名，第一名得满分13分，第二名得12分，名次每</w:t>
      </w:r>
      <w:r>
        <w:rPr>
          <w:rFonts w:hint="eastAsia" w:ascii="仿宋_GB2312" w:eastAsia="仿宋_GB2312" w:cs="仿宋_GB2312"/>
          <w:color w:val="auto"/>
          <w:kern w:val="2"/>
          <w:sz w:val="32"/>
          <w:szCs w:val="32"/>
          <w:lang w:val="en-US" w:eastAsia="zh-CN" w:bidi="ar"/>
        </w:rPr>
        <w:t>下降</w:t>
      </w:r>
      <w:r>
        <w:rPr>
          <w:rFonts w:hint="eastAsia" w:ascii="仿宋_GB2312" w:eastAsia="仿宋_GB2312" w:cs="仿宋_GB2312" w:hAnsiTheme="minorHAnsi"/>
          <w:color w:val="auto"/>
          <w:kern w:val="2"/>
          <w:sz w:val="32"/>
          <w:szCs w:val="32"/>
          <w:lang w:val="en-US" w:eastAsia="zh-CN" w:bidi="ar"/>
        </w:rPr>
        <w:t>一</w:t>
      </w:r>
      <w:r>
        <w:rPr>
          <w:rFonts w:hint="eastAsia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名分数减一分，净资产相同时得分相同，以此类推计算各单位得分。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40" w:lineRule="exact"/>
        <w:ind w:left="0" w:leftChars="0" w:right="0" w:rightChars="0" w:firstLine="422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</w:t>
      </w:r>
      <w:r>
        <w:rPr>
          <w:rFonts w:hint="eastAsia" w:ascii="仿宋_GB2312" w:eastAsia="仿宋_GB2312" w:cs="仿宋_GB2312" w:hAnsiTheme="minorHAnsi"/>
          <w:b/>
          <w:bCs/>
          <w:kern w:val="2"/>
          <w:sz w:val="32"/>
          <w:szCs w:val="32"/>
          <w:lang w:val="en-US" w:eastAsia="zh-CN" w:bidi="ar"/>
        </w:rPr>
        <w:t>2、资产负债率得分：</w:t>
      </w:r>
      <w:r>
        <w:rPr>
          <w:rFonts w:hint="eastAsia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满分13分，</w: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资产负债率=</w: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fldChar w:fldCharType="begin"/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instrText xml:space="preserve"> HYPERLINK "https://baike.baidu.com/item/%E8%B4%9F%E5%80%BA%E6%80%BB%E9%A2%9D" \t "https://baike.baidu.com/item/%E8%B5%84%E4%BA%A7%E8%B4%9F%E5%80%BA%E7%8E%87/_blank" </w:instrTex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fldChar w:fldCharType="separate"/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负债总额</w: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fldChar w:fldCharType="end"/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/</w: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fldChar w:fldCharType="begin"/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instrText xml:space="preserve"> HYPERLINK "https://baike.baidu.com/item/%E8%B5%84%E4%BA%A7%E6%80%BB%E9%A2%9D" \t "https://baike.baidu.com/item/%E8%B5%84%E4%BA%A7%E8%B4%9F%E5%80%BA%E7%8E%87/_blank" </w:instrTex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fldChar w:fldCharType="separate"/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资产总额</w: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fldChar w:fldCharType="end"/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×100%</w:t>
      </w:r>
      <w:r>
        <w:rPr>
          <w:rFonts w:hint="eastAsia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 xml:space="preserve">，按2017年企业资产负债表中的数值计算得出，从小到大排名，第一名得满分13分，第二名得12分，名次每下降一名分数减一分，负债率相同时得分相同，以此类推计算各单位得分。  </w:t>
      </w:r>
      <w:r>
        <w:rPr>
          <w:rFonts w:hint="eastAsia"/>
          <w:lang w:val="en-US" w:eastAsia="zh-CN"/>
        </w:rPr>
        <w:t xml:space="preserve"> </w:t>
      </w:r>
    </w:p>
    <w:p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 xml:space="preserve">   注：原则上以2017年审计报告为准；如尚未完成17年度审计报告的，允许提供2016年度审计报告。均以审计报告中釆集数据为准。要求提供原件及复印件，复印件加盖法人单位公章及法人章，</w:t>
      </w:r>
      <w:r>
        <w:rPr>
          <w:rFonts w:hint="eastAsia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未提供或者</w:t>
      </w: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>未按要求提供的</w:t>
      </w:r>
      <w:r>
        <w:rPr>
          <w:rFonts w:hint="eastAsia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不得分</w:t>
      </w: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Calibri Light">
    <w:altName w:val="PMingLiU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C5341C"/>
    <w:rsid w:val="1BC534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/>
    </w:pPr>
    <w:rPr>
      <w:rFonts w:asciiTheme="minorHAnsi" w:hAnsiTheme="minorHAnsi" w:eastAsiaTheme="minorEastAsia" w:cstheme="minorBid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2018-02-02T08:30:00Z</dcterms:created>
  <dc:creator>Administrator</dc:creator>
  <cp:lastModifiedBy>Administrator</cp:lastModifiedBy>
  <dcterms:modified xsi:type="dcterms:W3CDTF">2018-02-02T08:31:17Z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